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4E" w:rsidRDefault="00306D4E" w:rsidP="006E61A9">
      <w:pPr>
        <w:jc w:val="right"/>
      </w:pPr>
      <w:r>
        <w:t>Приложение 1 к документации о закупке</w:t>
      </w:r>
    </w:p>
    <w:p w:rsidR="00306D4E" w:rsidRDefault="00306D4E" w:rsidP="00306D4E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306D4E" w:rsidRPr="00D73ACF" w:rsidRDefault="004D4FD5" w:rsidP="00A022CD">
      <w:pPr>
        <w:ind w:firstLine="567"/>
        <w:jc w:val="center"/>
        <w:rPr>
          <w:rFonts w:ascii="Tahoma" w:hAnsi="Tahoma" w:cs="Tahoma"/>
          <w:sz w:val="20"/>
          <w:szCs w:val="20"/>
        </w:rPr>
      </w:pPr>
      <w:r w:rsidRPr="00D73ACF">
        <w:rPr>
          <w:rFonts w:ascii="Tahoma" w:hAnsi="Tahoma" w:cs="Tahoma"/>
          <w:sz w:val="20"/>
          <w:szCs w:val="20"/>
        </w:rPr>
        <w:t xml:space="preserve">На </w:t>
      </w:r>
      <w:r w:rsidR="00A022CD" w:rsidRPr="00D73ACF">
        <w:rPr>
          <w:rFonts w:ascii="Tahoma" w:hAnsi="Tahoma" w:cs="Tahoma"/>
          <w:sz w:val="20"/>
          <w:szCs w:val="20"/>
        </w:rPr>
        <w:t xml:space="preserve">Оказание услуг по доставке досудебных документов </w:t>
      </w:r>
      <w:r w:rsidR="00A022CD" w:rsidRPr="00D73ACF">
        <w:rPr>
          <w:rFonts w:ascii="Tahoma" w:eastAsia="Times New Roman" w:hAnsi="Tahoma" w:cs="Tahoma"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 w:rsidR="00A022CD" w:rsidRPr="00D73ACF">
        <w:rPr>
          <w:rFonts w:ascii="Tahoma" w:hAnsi="Tahoma" w:cs="Tahoma"/>
          <w:sz w:val="20"/>
          <w:szCs w:val="20"/>
        </w:rPr>
        <w:t>физическим лицам</w:t>
      </w:r>
      <w:r w:rsidR="00A022CD" w:rsidRPr="00D73ACF">
        <w:rPr>
          <w:rFonts w:ascii="Tahoma" w:eastAsia="Times New Roman" w:hAnsi="Tahoma" w:cs="Tahoma"/>
          <w:sz w:val="20"/>
          <w:szCs w:val="20"/>
          <w:lang w:eastAsia="ru-RU"/>
        </w:rPr>
        <w:t xml:space="preserve">-жителям многоквартирных домов, проживающих на территории </w:t>
      </w:r>
      <w:r w:rsidR="00A022CD" w:rsidRPr="00D73ACF">
        <w:rPr>
          <w:rFonts w:ascii="Tahoma" w:eastAsia="Times New Roman" w:hAnsi="Tahoma" w:cs="Tahoma"/>
          <w:bCs/>
          <w:color w:val="000000"/>
          <w:sz w:val="20"/>
          <w:szCs w:val="20"/>
          <w:shd w:val="clear" w:color="auto" w:fill="FFFFFF"/>
        </w:rPr>
        <w:t xml:space="preserve">г.Саратов, г.Энгельс </w:t>
      </w:r>
      <w:r w:rsidR="00A022CD" w:rsidRPr="00D73ACF">
        <w:rPr>
          <w:rFonts w:ascii="Tahoma" w:eastAsia="Times New Roman" w:hAnsi="Tahoma" w:cs="Tahoma"/>
          <w:sz w:val="20"/>
          <w:szCs w:val="20"/>
          <w:lang w:eastAsia="ru-RU"/>
        </w:rPr>
        <w:t>Саратовской области</w:t>
      </w:r>
      <w:r w:rsidR="00A022CD" w:rsidRPr="00D73ACF">
        <w:rPr>
          <w:rFonts w:ascii="Tahoma" w:hAnsi="Tahoma" w:cs="Tahoma"/>
          <w:sz w:val="20"/>
          <w:szCs w:val="20"/>
        </w:rPr>
        <w:t xml:space="preserve"> для нужд Саратовского филиала АО «ЭнергосбыТ Плюс»</w:t>
      </w:r>
    </w:p>
    <w:tbl>
      <w:tblPr>
        <w:tblStyle w:val="a3"/>
        <w:tblW w:w="11071" w:type="dxa"/>
        <w:tblInd w:w="-431" w:type="dxa"/>
        <w:tblLook w:val="04A0" w:firstRow="1" w:lastRow="0" w:firstColumn="1" w:lastColumn="0" w:noHBand="0" w:noVBand="1"/>
      </w:tblPr>
      <w:tblGrid>
        <w:gridCol w:w="518"/>
        <w:gridCol w:w="1708"/>
        <w:gridCol w:w="9081"/>
      </w:tblGrid>
      <w:tr w:rsidR="00306D4E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Pr="00D73ACF" w:rsidRDefault="004D4FD5" w:rsidP="0087782E">
            <w:p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73ACF">
              <w:rPr>
                <w:rFonts w:ascii="Tahoma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="0087782E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</w:t>
            </w:r>
            <w:r w:rsidR="008C22C9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(претензии, уведомления, информационные письма и т.п.) </w:t>
            </w:r>
            <w:r w:rsidR="008C22C9" w:rsidRPr="00D73ACF">
              <w:rPr>
                <w:rFonts w:ascii="Tahoma" w:hAnsi="Tahoma" w:cs="Tahoma"/>
                <w:sz w:val="20"/>
                <w:szCs w:val="20"/>
              </w:rPr>
              <w:t>физическим лицам</w:t>
            </w:r>
            <w:r w:rsidR="008C22C9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="008C22C9" w:rsidRPr="00D73ACF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="008C22C9" w:rsidRPr="00D73AC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D73ACF">
              <w:rPr>
                <w:rFonts w:ascii="Tahoma" w:hAnsi="Tahoma" w:cs="Tahoma"/>
                <w:sz w:val="20"/>
                <w:szCs w:val="20"/>
              </w:rPr>
              <w:t xml:space="preserve"> для нужд Саратовского филиала АО «ЭнергосбыТ Плюс»</w:t>
            </w:r>
            <w:r w:rsidRPr="00D73AC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030FAB" w:rsidRDefault="006E61A9" w:rsidP="006E61A9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6E61A9" w:rsidRPr="00030FAB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030FAB" w:rsidRDefault="00E20E6A" w:rsidP="006E61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С 01.03.2025 по 28.02.2026</w:t>
            </w:r>
            <w:r w:rsidR="006E61A9">
              <w:rPr>
                <w:rFonts w:ascii="Tahoma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306D4E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B103CD" w:rsidRDefault="00306D4E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доставке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7782E" w:rsidRPr="00B103CD">
              <w:rPr>
                <w:rFonts w:ascii="Tahoma" w:hAnsi="Tahoma" w:cs="Tahoma"/>
                <w:sz w:val="20"/>
                <w:szCs w:val="20"/>
              </w:rPr>
              <w:t xml:space="preserve">досудебных документов 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задолженности (претензии, уведомления, информационные письма и т.п.)</w:t>
            </w:r>
            <w:r w:rsidR="00E212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(далее-документация)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7782E" w:rsidRPr="00B103CD">
              <w:rPr>
                <w:rFonts w:ascii="Tahoma" w:hAnsi="Tahoma" w:cs="Tahoma"/>
                <w:sz w:val="20"/>
                <w:szCs w:val="20"/>
              </w:rPr>
              <w:t>физическим лицам</w:t>
            </w:r>
            <w:r w:rsidR="0087782E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жителям многоквартирных домов, проживающих на территории </w:t>
            </w:r>
            <w:r w:rsidR="006E61A9" w:rsidRPr="00B103C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="006E61A9" w:rsidRPr="005963F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="006E61A9" w:rsidRPr="00B103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6E61A9" w:rsidRPr="00B103CD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103C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Оказание услуг </w:t>
            </w:r>
            <w:r w:rsidR="00A022C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по доставке </w:t>
            </w:r>
            <w:r w:rsidRPr="00B103C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включает: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</w:t>
            </w:r>
            <w:r w:rsidR="00E212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документации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6E61A9" w:rsidRPr="006E61A9" w:rsidRDefault="006E61A9" w:rsidP="006E61A9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619" w:type="dxa"/>
              <w:tblLook w:val="04A0" w:firstRow="1" w:lastRow="0" w:firstColumn="1" w:lastColumn="0" w:noHBand="0" w:noVBand="1"/>
            </w:tblPr>
            <w:tblGrid>
              <w:gridCol w:w="1278"/>
              <w:gridCol w:w="876"/>
              <w:gridCol w:w="1329"/>
              <w:gridCol w:w="1193"/>
              <w:gridCol w:w="982"/>
              <w:gridCol w:w="1018"/>
              <w:gridCol w:w="956"/>
              <w:gridCol w:w="1223"/>
            </w:tblGrid>
            <w:tr w:rsidR="006E61A9" w:rsidRPr="006E61A9" w:rsidTr="00650717">
              <w:trPr>
                <w:trHeight w:val="680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Период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Рассылка ФССП (конверт)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Дата передачи в доставку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Инфописьма</w:t>
                  </w:r>
                </w:p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Фальш-иски   Претензии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Дата передачи в доставку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ind w:left="-102" w:right="-86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Объявления  на МКД (расклейка)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50717" w:rsidRDefault="006E61A9" w:rsidP="00650717">
                  <w:pPr>
                    <w:tabs>
                      <w:tab w:val="left" w:pos="720"/>
                    </w:tabs>
                    <w:spacing w:after="0" w:line="240" w:lineRule="auto"/>
                    <w:ind w:left="-13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Дата передачи</w:t>
                  </w:r>
                </w:p>
                <w:p w:rsidR="006E61A9" w:rsidRPr="00650717" w:rsidRDefault="006E61A9" w:rsidP="00650717">
                  <w:pPr>
                    <w:spacing w:after="0" w:line="240" w:lineRule="auto"/>
                    <w:ind w:left="-131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в доставку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</w:t>
                  </w:r>
                </w:p>
              </w:tc>
            </w:tr>
            <w:tr w:rsidR="006E61A9" w:rsidRPr="006E61A9" w:rsidTr="00650717">
              <w:trPr>
                <w:trHeight w:val="481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E61A9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ru-RU"/>
                    </w:rPr>
                    <w:t>2025/2026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шт.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шт.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шт.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61A9" w:rsidRPr="00650717" w:rsidRDefault="006E61A9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шт.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Март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24.03.2025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25 500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18.03.2025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6 600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12.03.2025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34 400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Апрель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28.04.2025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15.04.2025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11.04.2025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Май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26.05.2025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13.05.2025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13.05.2025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Июнь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23.06.2025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25 500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17.06.2025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6 600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11.06.2025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34 400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Июль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28.07.2025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15.07.2025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11.07.2025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Август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25.08.2025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12.08.2025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12.08.2025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Сентябрь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25.09.2025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25 500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16.10.2025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6 600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09.09.2025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34 400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Октябрь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27.10.2025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14.10.2025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14.10.2025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Ноябрь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24.11.2025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11.11.2025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11.11.2025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Декабрь 2025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29.12.2025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25 500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16.12.2025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6 600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11.12.2025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34 400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Январь 2026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28.01.2026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19.01.2026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15.01.2026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Cs/>
                      <w:sz w:val="16"/>
                      <w:szCs w:val="16"/>
                      <w:lang w:eastAsia="ru-RU"/>
                    </w:rPr>
                    <w:t>Февраль 2026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sz w:val="16"/>
                      <w:szCs w:val="16"/>
                    </w:rPr>
                    <w:t>2300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25.02.2026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23 900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15.02.2026</w:t>
                  </w: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5 600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BE47AD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sz w:val="16"/>
                      <w:szCs w:val="16"/>
                      <w:lang w:eastAsia="ru-RU"/>
                    </w:rPr>
                    <w:t>11.02.2026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color w:val="000000"/>
                      <w:sz w:val="16"/>
                      <w:szCs w:val="16"/>
                    </w:rPr>
                    <w:t>31 800</w:t>
                  </w:r>
                </w:p>
              </w:tc>
            </w:tr>
            <w:tr w:rsidR="00165C0F" w:rsidRPr="006E61A9" w:rsidTr="00650717">
              <w:trPr>
                <w:trHeight w:val="199"/>
              </w:trPr>
              <w:tc>
                <w:tcPr>
                  <w:tcW w:w="1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ru-RU"/>
                    </w:rPr>
                    <w:t>Итого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5071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27600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650717" w:rsidP="00650717">
                  <w:pPr>
                    <w:rPr>
                      <w:rFonts w:cstheme="minorHAnsi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cstheme="minorHAnsi"/>
                      <w:b/>
                      <w:color w:val="000000"/>
                      <w:sz w:val="16"/>
                      <w:szCs w:val="16"/>
                    </w:rPr>
                    <w:t xml:space="preserve">       </w:t>
                  </w:r>
                  <w:r w:rsidR="00165C0F" w:rsidRPr="00650717">
                    <w:rPr>
                      <w:rFonts w:cstheme="minorHAnsi"/>
                      <w:b/>
                      <w:color w:val="000000"/>
                      <w:sz w:val="16"/>
                      <w:szCs w:val="16"/>
                    </w:rPr>
                    <w:t>293 200</w:t>
                  </w:r>
                </w:p>
              </w:tc>
              <w:tc>
                <w:tcPr>
                  <w:tcW w:w="9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b/>
                      <w:color w:val="000000"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b/>
                      <w:color w:val="000000"/>
                      <w:sz w:val="16"/>
                      <w:szCs w:val="16"/>
                    </w:rPr>
                    <w:t>71 200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65C0F" w:rsidRPr="00650717" w:rsidRDefault="00165C0F" w:rsidP="00650717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650717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392 000</w:t>
                  </w:r>
                </w:p>
              </w:tc>
            </w:tr>
          </w:tbl>
          <w:p w:rsidR="00306D4E" w:rsidRDefault="00306D4E" w:rsidP="006E61A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6D4E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D4E" w:rsidRDefault="00306D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Требования к порядку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оказания услуги</w:t>
            </w:r>
          </w:p>
          <w:p w:rsidR="00306D4E" w:rsidRDefault="00306D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6E61A9" w:rsidRDefault="00306D4E" w:rsidP="006E61A9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6E61A9"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  <w:bookmarkStart w:id="0" w:name="_GoBack"/>
            <w:bookmarkEnd w:id="0"/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6E61A9" w:rsidRPr="00E20E6A" w:rsidRDefault="006E61A9" w:rsidP="00E20E6A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81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E6A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7" w:history="1">
              <w:r w:rsidR="00E20E6A" w:rsidRPr="00E20E6A">
                <w:rPr>
                  <w:rStyle w:val="a9"/>
                  <w:rFonts w:cstheme="minorBidi"/>
                </w:rPr>
                <w:t>Svetlana.Logvina@esplus.ru</w:t>
              </w:r>
            </w:hyperlink>
            <w:r w:rsidR="00E20E6A">
              <w:t xml:space="preserve"> </w:t>
            </w:r>
            <w:r w:rsidRPr="00E20E6A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8" w:history="1">
              <w:r w:rsidRPr="00E20E6A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E20E6A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</w:t>
            </w:r>
            <w:r w:rsidR="00D64E70">
              <w:rPr>
                <w:rFonts w:ascii="Tahoma" w:eastAsia="Times New Roman" w:hAnsi="Tahoma" w:cs="Tahoma"/>
                <w:sz w:val="20"/>
                <w:szCs w:val="20"/>
              </w:rPr>
              <w:t xml:space="preserve"> к Проекту Договора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) с указанием причины недоставки и адресов.</w:t>
            </w:r>
          </w:p>
          <w:p w:rsidR="006E61A9" w:rsidRPr="006E61A9" w:rsidRDefault="006E61A9" w:rsidP="006E61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</w:t>
            </w:r>
            <w:r w:rsidR="00E21271">
              <w:rPr>
                <w:rFonts w:ascii="Tahoma" w:eastAsia="Times New Roman" w:hAnsi="Tahoma" w:cs="Tahoma"/>
                <w:sz w:val="20"/>
                <w:szCs w:val="20"/>
              </w:rPr>
              <w:t>есячно, оформлять и передавать Заказчику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 xml:space="preserve"> в электронном и бумажном виде отчетную информацию по оказанным услугам в форме отчета</w:t>
            </w:r>
            <w:r w:rsidR="00583EB1" w:rsidRPr="00583EB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583EB1">
              <w:rPr>
                <w:rFonts w:ascii="Tahoma" w:eastAsia="Times New Roman" w:hAnsi="Tahoma" w:cs="Tahoma"/>
                <w:sz w:val="20"/>
                <w:szCs w:val="20"/>
              </w:rPr>
              <w:t xml:space="preserve">о доставке 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(Приложение № 4</w:t>
            </w:r>
            <w:r w:rsidR="00D64E70">
              <w:rPr>
                <w:rFonts w:ascii="Tahoma" w:eastAsia="Times New Roman" w:hAnsi="Tahoma" w:cs="Tahoma"/>
                <w:sz w:val="20"/>
                <w:szCs w:val="20"/>
              </w:rPr>
              <w:t xml:space="preserve"> к Проекту Договора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), исходя из количества и даты фактически доставленной документации.</w:t>
            </w:r>
          </w:p>
          <w:p w:rsidR="00A022CD" w:rsidRDefault="006E61A9" w:rsidP="00A022CD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306D4E" w:rsidRPr="00A022CD" w:rsidRDefault="006E61A9" w:rsidP="00A022CD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A022CD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6E61A9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1A9" w:rsidRDefault="006E61A9" w:rsidP="006E61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Default="006E61A9" w:rsidP="006E61A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6E61A9" w:rsidRDefault="006E61A9" w:rsidP="006E61A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A9" w:rsidRPr="006E61A9" w:rsidRDefault="006E61A9" w:rsidP="006E61A9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 w:rsidR="00A022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уществляется на территории г.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Саратов,</w:t>
            </w:r>
            <w:r w:rsidR="00A022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Энгельс 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eastAsia="Times New Roman" w:hAnsi="Tahoma" w:cs="Tahoma"/>
                <w:sz w:val="20"/>
                <w:szCs w:val="20"/>
              </w:rPr>
              <w:t>строго в места, предназначенные для этого,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лично, либо 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6E61A9" w:rsidRPr="006E61A9" w:rsidRDefault="006E61A9" w:rsidP="006E61A9">
            <w:pPr>
              <w:numPr>
                <w:ilvl w:val="0"/>
                <w:numId w:val="9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</w:t>
            </w:r>
            <w:r w:rsidR="00E54C2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ации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доставляем</w:t>
            </w:r>
            <w:r w:rsidR="00E54C2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ой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</w:t>
            </w:r>
            <w:r w:rsidR="00E212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 п</w:t>
            </w:r>
            <w:r w:rsidR="00E54C2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</w:t>
            </w: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требителей Заказчика.</w:t>
            </w:r>
          </w:p>
          <w:p w:rsidR="006E61A9" w:rsidRPr="00010B16" w:rsidRDefault="006E61A9" w:rsidP="006E61A9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E54C27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27" w:rsidRDefault="00E54C27" w:rsidP="00E54C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27" w:rsidRDefault="00E54C27" w:rsidP="00E54C2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E54C27" w:rsidRDefault="00E54C27" w:rsidP="00E54C2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845" w:type="dxa"/>
            <w:hideMark/>
          </w:tcPr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78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 (Приложение № 3</w:t>
            </w:r>
            <w:r w:rsidRPr="00E54C27">
              <w:rPr>
                <w:rFonts w:ascii="Tahoma" w:hAnsi="Tahoma" w:cs="Tahoma"/>
              </w:rPr>
              <w:t xml:space="preserve"> к </w:t>
            </w:r>
            <w:r>
              <w:rPr>
                <w:rFonts w:ascii="Tahoma" w:hAnsi="Tahoma" w:cs="Tahoma"/>
              </w:rPr>
              <w:t>Проекту д</w:t>
            </w:r>
            <w:r w:rsidRPr="00E54C27">
              <w:rPr>
                <w:rFonts w:ascii="Tahoma" w:hAnsi="Tahoma" w:cs="Tahoma"/>
              </w:rPr>
              <w:t>оговор</w:t>
            </w:r>
            <w:r>
              <w:rPr>
                <w:rFonts w:ascii="Tahoma" w:hAnsi="Tahoma" w:cs="Tahoma"/>
              </w:rPr>
              <w:t>а</w:t>
            </w:r>
            <w:r w:rsidRPr="00E54C27">
              <w:rPr>
                <w:rFonts w:ascii="Tahoma" w:hAnsi="Tahoma" w:cs="Tahoma"/>
                <w:szCs w:val="20"/>
              </w:rPr>
              <w:t xml:space="preserve">), подписанных Исполнителем, отчет о доставке (Приложение № 4 </w:t>
            </w:r>
            <w:r>
              <w:rPr>
                <w:rFonts w:ascii="Tahoma" w:hAnsi="Tahoma" w:cs="Tahoma"/>
                <w:szCs w:val="20"/>
              </w:rPr>
              <w:t xml:space="preserve">к </w:t>
            </w:r>
            <w:r>
              <w:rPr>
                <w:rFonts w:ascii="Tahoma" w:hAnsi="Tahoma" w:cs="Tahoma"/>
              </w:rPr>
              <w:t>Проекту д</w:t>
            </w:r>
            <w:r w:rsidRPr="00E54C27">
              <w:rPr>
                <w:rFonts w:ascii="Tahoma" w:hAnsi="Tahoma" w:cs="Tahoma"/>
              </w:rPr>
              <w:t>оговор</w:t>
            </w:r>
            <w:r>
              <w:rPr>
                <w:rFonts w:ascii="Tahoma" w:hAnsi="Tahoma" w:cs="Tahoma"/>
              </w:rPr>
              <w:t>а</w:t>
            </w:r>
            <w:r w:rsidRPr="00E54C27">
              <w:rPr>
                <w:rFonts w:ascii="Tahoma" w:hAnsi="Tahoma" w:cs="Tahoma"/>
                <w:szCs w:val="20"/>
              </w:rPr>
              <w:t xml:space="preserve">). 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Заказчик производит приемку оказанных Услуг путем подписания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lastRenderedPageBreak/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Style w:val="databind"/>
                <w:rFonts w:ascii="Tahoma" w:hAnsi="Tahoma" w:cs="Tahoma"/>
                <w:szCs w:val="20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E54C27">
              <w:rPr>
                <w:rFonts w:ascii="Tahoma" w:hAnsi="Tahoma" w:cs="Tahoma"/>
                <w:szCs w:val="20"/>
                <w:shd w:val="clear" w:color="auto" w:fill="FFFFFF"/>
              </w:rPr>
              <w:t>.</w:t>
            </w:r>
          </w:p>
          <w:p w:rsidR="00E54C27" w:rsidRPr="00E54C27" w:rsidRDefault="00E54C27" w:rsidP="00E54C27">
            <w:pPr>
              <w:pStyle w:val="1"/>
              <w:numPr>
                <w:ilvl w:val="2"/>
                <w:numId w:val="12"/>
              </w:numPr>
              <w:spacing w:after="120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E54C27">
              <w:rPr>
                <w:rFonts w:ascii="Tahoma" w:hAnsi="Tahoma" w:cs="Tahoma"/>
                <w:szCs w:val="20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E54C27">
              <w:rPr>
                <w:rFonts w:ascii="Tahoma" w:hAnsi="Tahoma" w:cs="Tahoma"/>
                <w:bCs/>
                <w:szCs w:val="20"/>
              </w:rPr>
              <w:t xml:space="preserve">Акта </w:t>
            </w:r>
            <w:r w:rsidRPr="00E54C27">
              <w:rPr>
                <w:rFonts w:ascii="Tahoma" w:hAnsi="Tahoma" w:cs="Tahoma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E54C27" w:rsidTr="00E54C2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27" w:rsidRDefault="00E54C27" w:rsidP="00E54C2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C27" w:rsidRDefault="00E54C27" w:rsidP="00E54C2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C27" w:rsidRPr="00A874D5" w:rsidRDefault="00E54C27" w:rsidP="00E54C27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E54C27" w:rsidRPr="00A874D5" w:rsidRDefault="00E54C27" w:rsidP="00E54C27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E54C27" w:rsidRPr="00A874D5" w:rsidRDefault="00E54C27" w:rsidP="00E54C27">
            <w:pPr>
              <w:pStyle w:val="3"/>
              <w:keepNext w:val="0"/>
              <w:keepLines w:val="0"/>
              <w:widowControl w:val="0"/>
              <w:numPr>
                <w:ilvl w:val="1"/>
                <w:numId w:val="11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E54C27" w:rsidRPr="00A874D5" w:rsidRDefault="00E54C27" w:rsidP="00E54C27">
            <w:pPr>
              <w:pStyle w:val="a4"/>
              <w:widowControl w:val="0"/>
              <w:numPr>
                <w:ilvl w:val="1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E54C27" w:rsidRPr="00A874D5" w:rsidRDefault="00E54C27" w:rsidP="00E54C27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E54C27" w:rsidRPr="00A874D5" w:rsidRDefault="00E54C27" w:rsidP="00E54C27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E54C27" w:rsidRPr="00A874D5" w:rsidRDefault="00E54C27" w:rsidP="00E54C27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E54C27" w:rsidRPr="00A874D5" w:rsidRDefault="00E54C27" w:rsidP="00E54C27">
            <w:pPr>
              <w:pStyle w:val="a4"/>
              <w:numPr>
                <w:ilvl w:val="1"/>
                <w:numId w:val="11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      </w:r>
          </w:p>
        </w:tc>
      </w:tr>
    </w:tbl>
    <w:p w:rsidR="00306D4E" w:rsidRDefault="00306D4E" w:rsidP="00306D4E">
      <w:pPr>
        <w:jc w:val="center"/>
        <w:rPr>
          <w:rFonts w:ascii="Tahoma" w:hAnsi="Tahoma" w:cs="Tahoma"/>
        </w:rPr>
      </w:pPr>
    </w:p>
    <w:p w:rsidR="00306D4E" w:rsidRDefault="00306D4E" w:rsidP="00306D4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53F90" w:rsidRDefault="00353F90"/>
    <w:p w:rsidR="00306D4E" w:rsidRDefault="00306D4E"/>
    <w:sectPr w:rsidR="00306D4E" w:rsidSect="00A022CD">
      <w:pgSz w:w="11906" w:h="16838"/>
      <w:pgMar w:top="567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59B" w:rsidRDefault="00AB259B" w:rsidP="00306D4E">
      <w:pPr>
        <w:spacing w:after="0" w:line="240" w:lineRule="auto"/>
      </w:pPr>
      <w:r>
        <w:separator/>
      </w:r>
    </w:p>
  </w:endnote>
  <w:endnote w:type="continuationSeparator" w:id="0">
    <w:p w:rsidR="00AB259B" w:rsidRDefault="00AB259B" w:rsidP="0030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59B" w:rsidRDefault="00AB259B" w:rsidP="00306D4E">
      <w:pPr>
        <w:spacing w:after="0" w:line="240" w:lineRule="auto"/>
      </w:pPr>
      <w:r>
        <w:separator/>
      </w:r>
    </w:p>
  </w:footnote>
  <w:footnote w:type="continuationSeparator" w:id="0">
    <w:p w:rsidR="00AB259B" w:rsidRDefault="00AB259B" w:rsidP="00306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  <w:rPr>
        <w:rFonts w:cs="Times New Roman"/>
      </w:r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  <w:rPr>
        <w:rFonts w:cs="Times New Roman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AE58BC"/>
    <w:multiLevelType w:val="hybridMultilevel"/>
    <w:tmpl w:val="1D1642DC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637E4810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9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4E"/>
    <w:rsid w:val="00165C0F"/>
    <w:rsid w:val="0027562F"/>
    <w:rsid w:val="00306D4E"/>
    <w:rsid w:val="00350EA3"/>
    <w:rsid w:val="00353F90"/>
    <w:rsid w:val="003D6873"/>
    <w:rsid w:val="004D4FD5"/>
    <w:rsid w:val="00583EB1"/>
    <w:rsid w:val="005963F9"/>
    <w:rsid w:val="00650717"/>
    <w:rsid w:val="006E61A9"/>
    <w:rsid w:val="0087782E"/>
    <w:rsid w:val="00893D83"/>
    <w:rsid w:val="008C22C9"/>
    <w:rsid w:val="00A022CD"/>
    <w:rsid w:val="00A10EE0"/>
    <w:rsid w:val="00AB259B"/>
    <w:rsid w:val="00B103CD"/>
    <w:rsid w:val="00BE47AD"/>
    <w:rsid w:val="00D64E70"/>
    <w:rsid w:val="00D73ACF"/>
    <w:rsid w:val="00E20E6A"/>
    <w:rsid w:val="00E21271"/>
    <w:rsid w:val="00E5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7061"/>
  <w15:chartTrackingRefBased/>
  <w15:docId w15:val="{1400A150-BB32-43C6-BFE4-1EF37BAC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4E"/>
  </w:style>
  <w:style w:type="paragraph" w:styleId="3">
    <w:name w:val="heading 3"/>
    <w:basedOn w:val="a"/>
    <w:next w:val="a"/>
    <w:link w:val="30"/>
    <w:uiPriority w:val="9"/>
    <w:unhideWhenUsed/>
    <w:qFormat/>
    <w:rsid w:val="006E61A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6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306D4E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306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06D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306D4E"/>
    <w:rPr>
      <w:rFonts w:ascii="Times New Roman" w:hAnsi="Times New Roman" w:cs="Times New Roman" w:hint="default"/>
      <w:vertAlign w:val="superscript"/>
    </w:rPr>
  </w:style>
  <w:style w:type="character" w:customStyle="1" w:styleId="databind">
    <w:name w:val="databind"/>
    <w:basedOn w:val="a0"/>
    <w:rsid w:val="006E61A9"/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6E61A9"/>
  </w:style>
  <w:style w:type="character" w:styleId="a9">
    <w:name w:val="Hyperlink"/>
    <w:basedOn w:val="a0"/>
    <w:uiPriority w:val="99"/>
    <w:unhideWhenUsed/>
    <w:rsid w:val="006E61A9"/>
    <w:rPr>
      <w:rFonts w:cs="Times New Roman"/>
      <w:color w:val="0563C1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6E61A9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paragraph" w:customStyle="1" w:styleId="1">
    <w:name w:val="Абзац списка1"/>
    <w:basedOn w:val="a"/>
    <w:uiPriority w:val="34"/>
    <w:qFormat/>
    <w:rsid w:val="00E54C27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Logvin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4</cp:revision>
  <dcterms:created xsi:type="dcterms:W3CDTF">2024-11-28T09:41:00Z</dcterms:created>
  <dcterms:modified xsi:type="dcterms:W3CDTF">2024-12-24T09:56:00Z</dcterms:modified>
</cp:coreProperties>
</file>